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0" b="0"/>
            <wp:wrapNone/>
            <wp:docPr id="1" name="Slika 3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3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  <w:t>REPUBLIKA HRVATSKA</w:t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  <w:t>DJEČJI VRTIĆ TOČKICA</w:t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  <w:t>TRNOVEC</w:t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  <w:t>UPRAVNO VIJEĆE</w:t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b/>
          <w:b/>
          <w:bCs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kern w:val="0"/>
          <w:lang w:eastAsia="hr-HR"/>
        </w:rPr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kern w:val="0"/>
          <w:lang w:eastAsia="hr-HR"/>
        </w:rPr>
      </w:pPr>
      <w:r>
        <w:rPr>
          <w:rFonts w:eastAsia="Times New Roman" w:ascii="Times New Roman" w:hAnsi="Times New Roman"/>
          <w:kern w:val="0"/>
          <w:lang w:eastAsia="hr-HR"/>
        </w:rPr>
        <w:t>KLASA: 007-01/26-01/04</w:t>
      </w:r>
    </w:p>
    <w:p>
      <w:pPr>
        <w:pStyle w:val="Normal"/>
        <w:suppressAutoHyphens w:val="false"/>
        <w:spacing w:lineRule="auto" w:line="259" w:before="0" w:after="0"/>
        <w:rPr>
          <w:rFonts w:ascii="Times New Roman" w:hAnsi="Times New Roman" w:eastAsia="Times New Roman"/>
          <w:kern w:val="0"/>
          <w:lang w:eastAsia="hr-HR"/>
        </w:rPr>
      </w:pPr>
      <w:r>
        <w:rPr>
          <w:rFonts w:eastAsia="Times New Roman" w:ascii="Times New Roman" w:hAnsi="Times New Roman"/>
          <w:kern w:val="0"/>
          <w:lang w:eastAsia="hr-HR"/>
        </w:rPr>
        <w:t>URBROJ: 2186-29-1-05-26-4</w:t>
      </w:r>
    </w:p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/>
          <w:kern w:val="0"/>
          <w:lang w:eastAsia="hr-HR"/>
        </w:rPr>
      </w:pPr>
      <w:r>
        <w:rPr>
          <w:rFonts w:eastAsia="Times New Roman" w:ascii="Times New Roman" w:hAnsi="Times New Roman"/>
          <w:kern w:val="0"/>
          <w:lang w:eastAsia="hr-HR"/>
        </w:rPr>
        <w:t>Trnovec, 08. srpanj 2026.</w:t>
      </w:r>
    </w:p>
    <w:p>
      <w:pPr>
        <w:pStyle w:val="Normal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Temeljem članka 38. Privremenog Statuta Dječjeg vrtića Točkica Upravno vijeće Dječjeg vrtića Točkica na 2. sjednici održanoj dana 08. srpnja 2026. godine donosi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KUĆNI RED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DJEČJEG VRTIĆA TOČKICA</w:t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Dječjem vrtiću Točkica ostvaruju se programi odgoja, naobrazbe, socijalne skrbi, zdravstvene zaštite i prehrane djece predškolske dobi od navršene prve godine života do polaska u osnovnu školu.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Rad s djecom realizira se kroz: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primarni program boravka djeteta u vrtiću do 10 sati dnevno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minimalni program rada s djecom u godini prije polaska u osnovnu školu (najmanje 150 sati)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3.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Prijam djeteta u vrtić vrši se prema redoslijedu zaprimljenih prijava u upravi vrtića i prema kriterijima koji određuju prioritet.</w:t>
      </w:r>
    </w:p>
    <w:p>
      <w:pPr>
        <w:pStyle w:val="Normal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Prednost za prijam u vrtić ima: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dijete roditelja žrtva invalida domovinskog rata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dijete iz obitelji samohranog roditelja ili dijete uzeto na uzdržavanje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dijete iz obitelji s troje ili više djece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dijete iz obitelji čija oba roditelja rade izvan Hrvatske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dijete iz obitelji u kojoj su oba roditelja zaposlena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4.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Ako su ispunjeni uvjeti za prijam djeteta u vrtić, roditelju se izdaje Odluka.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temelju Odluke dijete se raspoređuje u odgojnu skupinu prema uzrastu u skladu s normativima organizacije rada i u sporazumu s roditeljima.</w:t>
      </w:r>
    </w:p>
    <w:p>
      <w:pPr>
        <w:pStyle w:val="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Korisnik usluge vrtića dužan je pravo iz Odluke početi koristiti u roku od 15 dana od dana izdavanja iste, a nakon tog roka pravo po Odluci prestaje.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5.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Dječji vrtić obavezno s korisnicima usluga sklapa Ugovor o međusobnim pravima i obvezama nakon izdavanja Odluke o prijemu djeteta u vrtić.</w:t>
      </w:r>
    </w:p>
    <w:p>
      <w:pPr>
        <w:pStyle w:val="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Ukoliko korisnik odbije potpisati Ugovor, prava i obveze između dviju strana ne nastaju, odnosno prestaju.</w:t>
      </w:r>
    </w:p>
    <w:p>
      <w:pPr>
        <w:pStyle w:val="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6.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Prilikom prvog dolaska djeteta u vrtić roditelj je obvezan predati odgajatelju Odluku o prijemu djeteta, potpisani Ugovor, uvjerenje o zdravstvenom stanju djeteta, mišljenje stručnog tima i socijalnu anamnezu.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7.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Djeca koja nisu polazila niti jedan oblik organiziranog predškolskog odgoja, u godini prije polaska u osnovnu školu mogu polaziti program minimuma.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8.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Radi razvoja zdravstvenih i drugih navika djeteta obavezno je donijeti u vrtić: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za djecu jaslične dobi: pidžama, papuče, rezervna odjeća, krema za njegu tijela, pelene za jednokratnu upotrebu, vlažne maramice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za djecu vrtičke dobi: pidžama, papuče, rezervna odjeća, pribor za osobnu higijenu (četkica i pasta za zube, češalj).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za djecu polaznike programa minimuma – pribor za odgojno-obrazovni rad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ostalo po dogovoru s odgajateljem. Sve stvari moraju biti označene kako bi ih dijete moglo prepoznati.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9.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Roditelji ne mogu ulaziti autom u dvorište vrtića.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10.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Odgajatelji ne mogu bez suglasnosti ravnatelja o radu vrtića obavještavati medije.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11.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Radno vrijeme vrtića usklađeno je s radnim vremenom korisnika usluga.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Boravak djece organizira se prijepodne.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Radno vrijeme za djecu koja borave samo prijepodne u pravilu je od 5,30 sati do 16,30 sati, a može se mijenjati prema potrebama korisnika usluga (ako se radi o većem broju korisnika usluga).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Glavna ulazna vrata zaključavati će se u 8,30 sati.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12.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Dječji vrtić Točkica radi pet dana u tjednu, osim praznikom.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Subotom i nedjeljom vrtić ne radi.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13.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Prema djeci, korisnicima usluga i ostalim zaposlenicima potrebno je odnositi se s poštovanjem i po svim normama kulturnog ophođenja uz poštivanje različitosti.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14.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Zaposlenici ustanove imaju pravo tijekom radnog dana koristiti pauzu u trajanju od 30 minuta.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Vrijeme pauze odgajatelja je za vrijeme preklapanja radnog vremena s drugim odgojiteljem u skupini.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15.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vrijeme rada zaposlenici ustanove dužni su nositi zaštitnu radnu odjeću i obuću.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U prostoru u kojem borave djeca nije dozvoljeno ulaženje u cipelama i odjeći za van.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16.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Odgojno-obrazovni rad u vrtiću organiziran je prema starosnoj dobi djece vodeći računa o rasporedu aktivnosti, odmora, prehrane u skladu s psihofizičkim mogućnostima djeteta.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Obzirom na određeni ritam aktivnosti tijekom dana, roditelj je obvezan dovoditi dijete u vrtić do 8,00 sati. Iznimno, roditelj može dovesti dijete poslije 8,00 sati, a u dogovoru s odgajateljem.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17.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 vrtiću mogu boraviti samo zdrava djeca. Nakon bolovanja djeteta, roditelj je obvezan predati odgajatelju liječničku potvrdu iz koje je vidljivo da je dijete zdravo.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18.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Ukoliko postoji ugroza za zdravlje, svi korisnici Vrtića imaju obvezu pridržavanja trenutačnih mjera koje je propisao Vrtić temeljem uputa HZZJZ-a i epidemiološke službe, odnosno nadležnih tijela RH.             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19.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Odgajatelji i članovi stručnog tima dužni su informirati roditelje o programu vrtića, poticati ih na aktivnu suradnju u realizaciji programa te ih upoznavati s ciljevima kojima vrtić teži, sadržajima, metodama te sredstvima odgojno-obrazovnog rada.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20.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Suradnja roditelja i odgajatelja odvija se i kroz individualne razgovore jednom mjesečno.  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Suradnja roditelja i odgajatelja odvija se svakodnevno prilikom dolaska/odlaska djeteta u/iz vrtića.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Suradnja se odvija i putem roditeljskih sastanaka, koji se održavanju najmanje tri puta tijekom pedagoške godine.</w:t>
      </w:r>
    </w:p>
    <w:p>
      <w:pPr>
        <w:pStyle w:val="Normal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Suradnja roditelja i odgojitelja odvija se i kroz individualne razgovore u poslijepodnevnim satima, a u vrijeme koje određuje odgojitelj.</w:t>
      </w:r>
    </w:p>
    <w:p>
      <w:pPr>
        <w:pStyle w:val="Normal"/>
        <w:spacing w:lineRule="auto" w:line="240"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21.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Djeca obavezno dolaze, odnosno odlaze iz vrtića u pratnji odrasle osobe.</w:t>
      </w:r>
    </w:p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22.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Ako roditelji nisu u mogućnosti sami podići dijete, potrebno je o tome prethodno obavijestiti odgojitelje te ispuniti formular s podacima o odrasloj osobi/osobama koje će to obaviti umjesto njih.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23.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Roditelj je dužan doći u vrtić po dijete do kraja radnog vremena smjene u kojoj dijete boravi.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dijete koje boravi u vrtiću samo prijepodne, najkasnije do 16,30 sati.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Ukoliko roditelj ne dođe po dijete niti ne osigura drugu odraslu osobu koja će doći po dijete, po isteku radnog vremena smjene u koju je dijete smješteno, vrtić će obavijestiti nadležne ustanove.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24.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Protiv roditelja vrtić može pokrenuti postupak u skladu s Zakonom o obitelji i Kaznenom zakonu, a zbog zanemarivanja brige o djeci.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25.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Korisnik usluga obvezuje se za ostvarivanje programa svojeg djeteta sudjelovati u naknadi cijene koštanja usluga vrtića u iznosu koji utvrdi Općinsko vijeće Općine Trnovec Bartolovečki.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Korisnik se obvezuje utvrđeni iznos cijene uplatiti najkasnije do 10-tog u mjesecu za tekući mjesec.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svaki zakašnjeli iznos računaju se zatezne kamate od dana zakašnjenja do potpune naplate. 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Ukoliko korisnik ne podmiri račun dulje od 60 dana, dijete gubi pravo boravka u vrtiću.                                  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26.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Korisnik usluga dužan je redovito podizati uplatnice kod odgojitelja ili u računovodstvu vrtića.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Korisnik vrtića dužan je na zahtjev vrtića dostaviti podatke i uvjerenja potrebna radi obračuna cijene koštanja usluga vrtića.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27.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Usluge koje se koriste u vrtiću izvan propisanog pedagoškog standarda i programa rada (specifični kraći programi, strani jezici, predstave, izleti i sl.) naplaćuju se prema stvarnim troškovima navedenih usluga.</w:t>
      </w:r>
    </w:p>
    <w:p>
      <w:pPr>
        <w:pStyle w:val="Normal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28.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 dane odsutnosti djeteta zbog bolesti preko mjesec dana, a uz predočenje liječničkog uvjerenja, korisnik usluga plaća 60% od utvrđene cijene programa koji redovito plaća tijekom godine.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Tijekom kolovoza na ime godišnjeg odmora korisnik usluga plaća 80% od utvrđene cijene programa koji redovito plaća tijekom godine.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  <w:color w:val="EE0000"/>
        </w:rPr>
      </w:pPr>
      <w:r>
        <w:rPr>
          <w:rFonts w:ascii="Times New Roman" w:hAnsi="Times New Roman"/>
          <w:color w:val="EE0000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29.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Ukoliko roditelj ne dovodi dijete mjesec dana u vrtić, a o tome nije pismeno obavijestio upravu vrtića, dijete će se smatrati ispisanim sa slijedećim prvim u mjesecu.</w:t>
      </w:r>
    </w:p>
    <w:p>
      <w:pPr>
        <w:pStyle w:val="Normal"/>
        <w:spacing w:before="0" w:after="0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30.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Tijekom srpnja i kolovoza rad u vrtiću biti će organiziran u vidu dežurstva, a ovisno o potrebama korisnika usluga i brojnom stanju djece.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Odgojitelji tijekom srpnja i kolovoza u pravilu koriste godišnji odmor.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Vrtić je dužan kroz ljeto organizirati odgojno-obrazovni rad u skladu s potrebama korisnika usluga.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Odgojitelji i ostali radnici raspoređuju se u objektu prema korištenju godišnjih odmora Odlukom koju donosi ravnatelj.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31.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Korisnik usluga može otkazati usluge vrtića ispisnicom koju potpisuje osobno u računovodstvu vrtića. 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Otkazivanje usluga vrtića je sedam (7) dana i teće od dana potpisivanja ispisnice.   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32.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Vrtić je dužan s odredbama kućnog reda uskladiti Odluke o prijemu djece u vrtić, kao i Ugovore koji se potpisuju s korisnicima usluga.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Članak 33.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Ovaj Kućni red stupa na snagu s danom donošenja.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0"/>
        <w:jc w:val="right"/>
        <w:rPr>
          <w:rFonts w:ascii="Times New Roman" w:hAnsi="Times New Roman" w:eastAsia="Times New Roman"/>
          <w:b/>
          <w:b/>
          <w:bCs/>
          <w:color w:val="000000"/>
          <w:kern w:val="0"/>
          <w:lang w:eastAsia="hr-HR"/>
        </w:rPr>
      </w:pPr>
      <w:r>
        <w:rPr>
          <w:rFonts w:eastAsia="Times New Roman" w:ascii="Times New Roman" w:hAnsi="Times New Roman"/>
          <w:b/>
          <w:bCs/>
          <w:color w:val="000000"/>
          <w:kern w:val="0"/>
          <w:lang w:eastAsia="hr-HR"/>
        </w:rPr>
        <w:t>PREDSJEDNICA UPRAVNOG VIJEĆA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eastAsia="Times New Roman"/>
          <w:color w:val="000000"/>
          <w:kern w:val="0"/>
          <w:lang w:eastAsia="hr-HR"/>
        </w:rPr>
      </w:pPr>
      <w:r>
        <w:rPr>
          <w:rFonts w:eastAsia="Times New Roman" w:ascii="Times New Roman" w:hAnsi="Times New Roman"/>
          <w:color w:val="000000"/>
          <w:kern w:val="0"/>
          <w:lang w:eastAsia="hr-HR"/>
        </w:rPr>
        <w:t xml:space="preserve">                                                                               </w:t>
      </w:r>
      <w:r>
        <w:rPr>
          <w:rFonts w:eastAsia="Times New Roman" w:ascii="Times New Roman" w:hAnsi="Times New Roman"/>
          <w:color w:val="000000"/>
          <w:kern w:val="0"/>
          <w:lang w:eastAsia="hr-HR"/>
        </w:rPr>
        <w:t>Nina Matulić Benc, mag.oec.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9" w:before="0" w:after="16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hr-HR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360" w:after="80"/>
      <w:outlineLvl w:val="0"/>
    </w:pPr>
    <w:rPr>
      <w:rFonts w:ascii="Calibri Light" w:hAnsi="Calibri Light" w:eastAsia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Calibri Light" w:hAnsi="Calibri Light" w:eastAsia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qFormat/>
    <w:pPr>
      <w:keepNext w:val="true"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qFormat/>
    <w:pPr>
      <w:keepNext w:val="true"/>
      <w:keepLines/>
      <w:spacing w:before="0"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qFormat/>
    <w:pPr>
      <w:keepNext w:val="true"/>
      <w:keepLines/>
      <w:spacing w:before="0"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qFormat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Heading2Char" w:customStyle="1">
    <w:name w:val="Heading 2 Char"/>
    <w:basedOn w:val="DefaultParagraphFont"/>
    <w:qFormat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Heading3Char" w:customStyle="1">
    <w:name w:val="Heading 3 Char"/>
    <w:basedOn w:val="DefaultParagraphFont"/>
    <w:qFormat/>
    <w:rPr>
      <w:rFonts w:eastAsia="Times New Roman" w:cs="Times New Roman"/>
      <w:color w:val="2F5496"/>
      <w:sz w:val="28"/>
      <w:szCs w:val="28"/>
    </w:rPr>
  </w:style>
  <w:style w:type="character" w:styleId="Heading4Char" w:customStyle="1">
    <w:name w:val="Heading 4 Char"/>
    <w:basedOn w:val="DefaultParagraphFont"/>
    <w:qFormat/>
    <w:rPr>
      <w:rFonts w:eastAsia="Times New Roman" w:cs="Times New Roman"/>
      <w:i/>
      <w:iCs/>
      <w:color w:val="2F5496"/>
    </w:rPr>
  </w:style>
  <w:style w:type="character" w:styleId="Heading5Char" w:customStyle="1">
    <w:name w:val="Heading 5 Char"/>
    <w:basedOn w:val="DefaultParagraphFont"/>
    <w:qFormat/>
    <w:rPr>
      <w:rFonts w:eastAsia="Times New Roman" w:cs="Times New Roman"/>
      <w:color w:val="2F5496"/>
    </w:rPr>
  </w:style>
  <w:style w:type="character" w:styleId="Heading6Char" w:customStyle="1">
    <w:name w:val="Heading 6 Char"/>
    <w:basedOn w:val="DefaultParagraphFont"/>
    <w:qFormat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basedOn w:val="DefaultParagraphFont"/>
    <w:qFormat/>
    <w:rPr>
      <w:rFonts w:eastAsia="Times New Roman" w:cs="Times New Roman"/>
      <w:color w:val="595959"/>
    </w:rPr>
  </w:style>
  <w:style w:type="character" w:styleId="Heading8Char" w:customStyle="1">
    <w:name w:val="Heading 8 Char"/>
    <w:basedOn w:val="DefaultParagraphFont"/>
    <w:qFormat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basedOn w:val="DefaultParagraphFont"/>
    <w:qFormat/>
    <w:rPr>
      <w:rFonts w:eastAsia="Times New Roman" w:cs="Times New Roman"/>
      <w:color w:val="272727"/>
    </w:rPr>
  </w:style>
  <w:style w:type="character" w:styleId="TitleChar" w:customStyle="1">
    <w:name w:val="Title Char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2F5496"/>
    </w:rPr>
  </w:style>
  <w:style w:type="character" w:styleId="IntenseQuoteChar" w:customStyle="1">
    <w:name w:val="Intense Quote Char"/>
    <w:basedOn w:val="DefaultParagraphFont"/>
    <w:qFormat/>
    <w:rPr>
      <w:i/>
      <w:iCs/>
      <w:color w:val="2F5496"/>
    </w:rPr>
  </w:style>
  <w:style w:type="character" w:styleId="IntenseReference">
    <w:name w:val="Intense Reference"/>
    <w:basedOn w:val="DefaultParagraphFont"/>
    <w:qFormat/>
    <w:rPr>
      <w:b/>
      <w:bCs/>
      <w:smallCaps/>
      <w:color w:val="2F5496"/>
      <w:spacing w:val="5"/>
    </w:rPr>
  </w:style>
  <w:style w:type="character" w:styleId="InternetLink">
    <w:name w:val="Hyperlink"/>
    <w:basedOn w:val="DefaultParagraphFont"/>
    <w:rsid w:val="00027462"/>
    <w:rPr>
      <w:color w:val="0563C1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80"/>
      <w:contextualSpacing/>
    </w:pPr>
    <w:rPr>
      <w:rFonts w:ascii="Calibri Light" w:hAnsi="Calibri Light" w:eastAsia="Times New Roman"/>
      <w:spacing w:val="-1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LibreOffice/7.1.6.2$Windows_X86_64 LibreOffice_project/0e133318fcee89abacd6a7d077e292f1145735c3</Application>
  <AppVersion>15.0000</AppVersion>
  <Pages>4</Pages>
  <Words>1287</Words>
  <Characters>7265</Characters>
  <CharactersWithSpaces>8674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2026-07-07T11:35:00Z</dcterms:created>
  <dc:creator>Borna Dornig</dc:creator>
  <dc:description/>
  <dc:language>hr-HR</dc:language>
  <cp:lastModifiedBy/>
  <dcterms:modified xsi:type="dcterms:W3CDTF">2026-07-21T14:54:31Z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